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6F6" w:rsidRPr="005016F6" w:rsidRDefault="005016F6" w:rsidP="005016F6">
      <w:pPr>
        <w:jc w:val="center"/>
        <w:rPr>
          <w:b/>
          <w:sz w:val="28"/>
          <w:u w:val="single"/>
        </w:rPr>
      </w:pPr>
      <w:bookmarkStart w:id="0" w:name="_GoBack"/>
      <w:bookmarkEnd w:id="0"/>
      <w:r w:rsidRPr="005016F6">
        <w:rPr>
          <w:b/>
          <w:sz w:val="28"/>
          <w:u w:val="single"/>
        </w:rPr>
        <w:t>ACUERDO UE/JAPÓN</w:t>
      </w:r>
    </w:p>
    <w:p w:rsidR="005016F6" w:rsidRPr="005016F6" w:rsidRDefault="005016F6" w:rsidP="005016F6">
      <w:pPr>
        <w:jc w:val="center"/>
        <w:rPr>
          <w:b/>
          <w:sz w:val="24"/>
          <w:u w:val="single"/>
        </w:rPr>
      </w:pPr>
    </w:p>
    <w:p w:rsidR="005016F6" w:rsidRPr="005016F6" w:rsidRDefault="005016F6" w:rsidP="005016F6">
      <w:pPr>
        <w:jc w:val="center"/>
        <w:rPr>
          <w:b/>
          <w:sz w:val="24"/>
          <w:u w:val="single"/>
        </w:rPr>
      </w:pPr>
      <w:r w:rsidRPr="005016F6">
        <w:rPr>
          <w:b/>
          <w:sz w:val="24"/>
          <w:u w:val="single"/>
        </w:rPr>
        <w:t>Nota explicativa. Prueba de origen.</w:t>
      </w:r>
    </w:p>
    <w:p w:rsidR="005016F6" w:rsidRDefault="005016F6" w:rsidP="005016F6">
      <w:pPr>
        <w:jc w:val="both"/>
        <w:rPr>
          <w:sz w:val="24"/>
        </w:rPr>
      </w:pPr>
    </w:p>
    <w:p w:rsidR="005016F6" w:rsidRPr="005016F6" w:rsidRDefault="005016F6" w:rsidP="005016F6">
      <w:pPr>
        <w:jc w:val="both"/>
        <w:rPr>
          <w:sz w:val="24"/>
        </w:rPr>
      </w:pPr>
      <w:r w:rsidRPr="005016F6">
        <w:rPr>
          <w:sz w:val="24"/>
        </w:rPr>
        <w:t>Una vez que ha sido aprobado por el Parlamento Europeo, y finalizados los trámites procedimentales por ambas partes, el Acuerdo de Libre Comercio con Japón ha entrado en vigor el 1 de febrero de 2019.</w:t>
      </w:r>
    </w:p>
    <w:p w:rsidR="005016F6" w:rsidRDefault="005016F6" w:rsidP="005016F6">
      <w:pPr>
        <w:jc w:val="both"/>
        <w:rPr>
          <w:sz w:val="24"/>
        </w:rPr>
      </w:pPr>
      <w:r w:rsidRPr="005016F6">
        <w:rPr>
          <w:sz w:val="24"/>
        </w:rPr>
        <w:t xml:space="preserve">Como en todos los acuerdos preferenciales, el exportador que quiera beneficiarse de las preferencias arancelarias previstas en el mismo, deberá cumplir con las normas de origen, y aportar una prueba de origen. </w:t>
      </w:r>
    </w:p>
    <w:p w:rsidR="005016F6" w:rsidRPr="005016F6" w:rsidRDefault="005016F6" w:rsidP="005016F6">
      <w:pPr>
        <w:jc w:val="both"/>
        <w:rPr>
          <w:sz w:val="24"/>
        </w:rPr>
      </w:pPr>
      <w:r w:rsidRPr="005016F6">
        <w:rPr>
          <w:sz w:val="24"/>
        </w:rPr>
        <w:t>La solicitud de trato arancelario preferente se debe basar en una de estas dos pruebas de origen.</w:t>
      </w:r>
    </w:p>
    <w:p w:rsidR="005016F6" w:rsidRPr="005016F6" w:rsidRDefault="005016F6" w:rsidP="005016F6">
      <w:pPr>
        <w:jc w:val="both"/>
        <w:rPr>
          <w:sz w:val="24"/>
        </w:rPr>
      </w:pPr>
    </w:p>
    <w:p w:rsidR="005016F6" w:rsidRPr="005016F6" w:rsidRDefault="005016F6" w:rsidP="005016F6">
      <w:pPr>
        <w:numPr>
          <w:ilvl w:val="0"/>
          <w:numId w:val="6"/>
        </w:numPr>
        <w:jc w:val="both"/>
        <w:rPr>
          <w:sz w:val="24"/>
          <w:u w:val="single"/>
        </w:rPr>
      </w:pPr>
      <w:r w:rsidRPr="005016F6">
        <w:rPr>
          <w:sz w:val="24"/>
          <w:u w:val="single"/>
        </w:rPr>
        <w:t>Declaración de origen</w:t>
      </w:r>
    </w:p>
    <w:p w:rsidR="005016F6" w:rsidRPr="005016F6" w:rsidRDefault="005016F6" w:rsidP="005016F6">
      <w:pPr>
        <w:jc w:val="both"/>
        <w:rPr>
          <w:sz w:val="24"/>
        </w:rPr>
      </w:pPr>
    </w:p>
    <w:p w:rsidR="005016F6" w:rsidRDefault="005016F6" w:rsidP="005016F6">
      <w:pPr>
        <w:jc w:val="both"/>
        <w:rPr>
          <w:sz w:val="24"/>
        </w:rPr>
      </w:pPr>
      <w:r w:rsidRPr="005016F6">
        <w:rPr>
          <w:sz w:val="24"/>
        </w:rPr>
        <w:t xml:space="preserve">La declaración de origen debe ir en factura del exportador/productor o en cualquier otro documento comercial que describa el producto originario con el detalle suficiente que permita su identificación (autocertificación). </w:t>
      </w:r>
    </w:p>
    <w:p w:rsidR="005016F6" w:rsidRPr="005016F6" w:rsidRDefault="005016F6" w:rsidP="005016F6">
      <w:pPr>
        <w:jc w:val="both"/>
        <w:rPr>
          <w:sz w:val="24"/>
        </w:rPr>
      </w:pPr>
      <w:r w:rsidRPr="005016F6">
        <w:rPr>
          <w:sz w:val="24"/>
          <w:u w:val="single"/>
        </w:rPr>
        <w:t>Sólo podrán emitir</w:t>
      </w:r>
      <w:r w:rsidRPr="005016F6">
        <w:rPr>
          <w:sz w:val="24"/>
        </w:rPr>
        <w:t xml:space="preserve"> esta declaración de origen </w:t>
      </w:r>
      <w:r w:rsidRPr="005016F6">
        <w:rPr>
          <w:sz w:val="24"/>
          <w:u w:val="single"/>
        </w:rPr>
        <w:t>aquellos exportadores registrados</w:t>
      </w:r>
      <w:r w:rsidRPr="005016F6">
        <w:rPr>
          <w:sz w:val="24"/>
        </w:rPr>
        <w:t xml:space="preserve"> por la autoridad aduanera competente. En el caso de la UE, el exportador deberá estar registrado en el sistema REX y utilizar el nº de registro REX en las declaraciones de origen. Este </w:t>
      </w:r>
      <w:hyperlink r:id="rId7" w:history="1">
        <w:r w:rsidRPr="005016F6">
          <w:rPr>
            <w:rStyle w:val="Hipervnculo"/>
            <w:i/>
            <w:sz w:val="24"/>
          </w:rPr>
          <w:t>registro en el sistema REX</w:t>
        </w:r>
      </w:hyperlink>
      <w:r w:rsidRPr="005016F6">
        <w:rPr>
          <w:sz w:val="24"/>
        </w:rPr>
        <w:t xml:space="preserve"> se debe solicitar al Departamento de Aduanas.</w:t>
      </w:r>
    </w:p>
    <w:p w:rsidR="005016F6" w:rsidRPr="005016F6" w:rsidRDefault="005016F6" w:rsidP="005016F6">
      <w:pPr>
        <w:jc w:val="both"/>
        <w:rPr>
          <w:sz w:val="24"/>
        </w:rPr>
      </w:pPr>
      <w:r w:rsidRPr="005016F6">
        <w:rPr>
          <w:sz w:val="24"/>
        </w:rPr>
        <w:t xml:space="preserve">Se establece una formulación para la misma, que se puede hacer en todos los idiomas de las Partes Contratantes del Acuerdo. A continuación se incluyen las versiones en español e inglés: </w:t>
      </w:r>
    </w:p>
    <w:p w:rsidR="005016F6" w:rsidRPr="005016F6" w:rsidRDefault="005016F6" w:rsidP="005016F6">
      <w:pPr>
        <w:jc w:val="both"/>
        <w:rPr>
          <w:sz w:val="24"/>
        </w:rPr>
      </w:pPr>
    </w:p>
    <w:p w:rsidR="005016F6" w:rsidRPr="005016F6" w:rsidRDefault="005016F6" w:rsidP="005016F6">
      <w:pPr>
        <w:jc w:val="both"/>
        <w:rPr>
          <w:sz w:val="24"/>
        </w:rPr>
      </w:pPr>
      <w:r w:rsidRPr="005016F6">
        <w:rPr>
          <w:sz w:val="24"/>
        </w:rPr>
        <w:t>Versión española:</w:t>
      </w:r>
    </w:p>
    <w:p w:rsidR="005016F6" w:rsidRPr="005016F6" w:rsidRDefault="005016F6" w:rsidP="005016F6">
      <w:pPr>
        <w:jc w:val="both"/>
        <w:rPr>
          <w:i/>
          <w:sz w:val="24"/>
        </w:rPr>
      </w:pPr>
      <w:r w:rsidRPr="005016F6">
        <w:rPr>
          <w:i/>
          <w:sz w:val="24"/>
        </w:rPr>
        <w:t>(Período: del …………...................................... al .................................................... (1))</w:t>
      </w:r>
    </w:p>
    <w:p w:rsidR="005016F6" w:rsidRPr="005016F6" w:rsidRDefault="005016F6" w:rsidP="005016F6">
      <w:pPr>
        <w:jc w:val="both"/>
        <w:rPr>
          <w:i/>
          <w:sz w:val="24"/>
        </w:rPr>
      </w:pPr>
      <w:r w:rsidRPr="005016F6">
        <w:rPr>
          <w:i/>
          <w:sz w:val="24"/>
        </w:rPr>
        <w:t xml:space="preserve">El exportador de los productos incluidos en el presente documento (número de referencia del exportador ......................... (2)) declara que, excepto donde se indique claramente lo contrario, estos productos son de origen preferencial ....................... (3). </w:t>
      </w:r>
    </w:p>
    <w:p w:rsidR="005016F6" w:rsidRPr="005016F6" w:rsidRDefault="005016F6" w:rsidP="005016F6">
      <w:pPr>
        <w:jc w:val="both"/>
        <w:rPr>
          <w:i/>
          <w:sz w:val="24"/>
        </w:rPr>
      </w:pPr>
      <w:r w:rsidRPr="005016F6">
        <w:rPr>
          <w:i/>
          <w:sz w:val="24"/>
        </w:rPr>
        <w:t>(Criterios de origen aplicados (4)) ..................................................................................</w:t>
      </w:r>
    </w:p>
    <w:p w:rsidR="005016F6" w:rsidRPr="005016F6" w:rsidRDefault="005016F6" w:rsidP="005016F6">
      <w:pPr>
        <w:jc w:val="both"/>
        <w:rPr>
          <w:i/>
          <w:sz w:val="24"/>
        </w:rPr>
      </w:pPr>
      <w:r w:rsidRPr="005016F6">
        <w:rPr>
          <w:i/>
          <w:sz w:val="24"/>
        </w:rPr>
        <w:t>(Lugar y fecha (5)) ………………………….......................................................................</w:t>
      </w:r>
    </w:p>
    <w:p w:rsidR="005016F6" w:rsidRPr="005016F6" w:rsidRDefault="005016F6" w:rsidP="005016F6">
      <w:pPr>
        <w:jc w:val="both"/>
        <w:rPr>
          <w:i/>
          <w:sz w:val="24"/>
        </w:rPr>
      </w:pPr>
      <w:r w:rsidRPr="005016F6">
        <w:rPr>
          <w:i/>
          <w:sz w:val="24"/>
        </w:rPr>
        <w:t>(Nombre impreso del exportador) ...................................................................................</w:t>
      </w:r>
    </w:p>
    <w:p w:rsidR="005016F6" w:rsidRPr="005016F6" w:rsidRDefault="005016F6" w:rsidP="005016F6">
      <w:pPr>
        <w:jc w:val="both"/>
        <w:rPr>
          <w:sz w:val="24"/>
        </w:rPr>
      </w:pPr>
      <w:r w:rsidRPr="005016F6">
        <w:rPr>
          <w:sz w:val="24"/>
        </w:rPr>
        <w:t xml:space="preserve"> </w:t>
      </w:r>
    </w:p>
    <w:p w:rsidR="005016F6" w:rsidRPr="005016F6" w:rsidRDefault="005016F6" w:rsidP="005016F6">
      <w:pPr>
        <w:jc w:val="both"/>
        <w:rPr>
          <w:sz w:val="24"/>
          <w:lang w:val="en-US"/>
        </w:rPr>
      </w:pPr>
      <w:r w:rsidRPr="005016F6">
        <w:rPr>
          <w:sz w:val="24"/>
          <w:lang w:val="en-US"/>
        </w:rPr>
        <w:t>Versión inglesa:</w:t>
      </w:r>
    </w:p>
    <w:p w:rsidR="005016F6" w:rsidRPr="005016F6" w:rsidRDefault="005016F6" w:rsidP="005016F6">
      <w:pPr>
        <w:jc w:val="both"/>
        <w:rPr>
          <w:i/>
          <w:sz w:val="24"/>
          <w:lang w:val="en-US"/>
        </w:rPr>
      </w:pPr>
      <w:r w:rsidRPr="005016F6">
        <w:rPr>
          <w:i/>
          <w:sz w:val="24"/>
          <w:lang w:val="en-US"/>
        </w:rPr>
        <w:t xml:space="preserve">(Period: from ................................................. to ...................................................... (1)) The exporter of the products covered by this document (Exporter Reference No ............................................ (2)) declares that, except where otherwise clearly indicated, these products are of .................................................. preferential origin (3). </w:t>
      </w:r>
    </w:p>
    <w:p w:rsidR="005016F6" w:rsidRPr="005016F6" w:rsidRDefault="005016F6" w:rsidP="005016F6">
      <w:pPr>
        <w:jc w:val="both"/>
        <w:rPr>
          <w:i/>
          <w:sz w:val="24"/>
          <w:lang w:val="en-US"/>
        </w:rPr>
      </w:pPr>
      <w:r w:rsidRPr="005016F6">
        <w:rPr>
          <w:i/>
          <w:sz w:val="24"/>
          <w:lang w:val="en-US"/>
        </w:rPr>
        <w:t>(Origin criteria used (4)).................................................................................................</w:t>
      </w:r>
    </w:p>
    <w:p w:rsidR="005016F6" w:rsidRPr="005016F6" w:rsidRDefault="005016F6" w:rsidP="005016F6">
      <w:pPr>
        <w:jc w:val="both"/>
        <w:rPr>
          <w:i/>
          <w:sz w:val="24"/>
          <w:lang w:val="en-US"/>
        </w:rPr>
      </w:pPr>
      <w:r w:rsidRPr="005016F6">
        <w:rPr>
          <w:i/>
          <w:sz w:val="24"/>
          <w:lang w:val="en-US"/>
        </w:rPr>
        <w:t xml:space="preserve">(Place and date (5))......................................................................................................... </w:t>
      </w:r>
    </w:p>
    <w:p w:rsidR="005016F6" w:rsidRPr="005016F6" w:rsidRDefault="005016F6" w:rsidP="005016F6">
      <w:pPr>
        <w:jc w:val="both"/>
        <w:rPr>
          <w:i/>
          <w:sz w:val="24"/>
          <w:lang w:val="en-US"/>
        </w:rPr>
      </w:pPr>
      <w:r w:rsidRPr="005016F6">
        <w:rPr>
          <w:i/>
          <w:sz w:val="24"/>
          <w:lang w:val="en-US"/>
        </w:rPr>
        <w:t>(Printed name of the exporter)…………………………………………………………………</w:t>
      </w:r>
    </w:p>
    <w:p w:rsidR="005016F6" w:rsidRPr="005016F6" w:rsidRDefault="005016F6" w:rsidP="005016F6">
      <w:pPr>
        <w:jc w:val="both"/>
        <w:rPr>
          <w:sz w:val="24"/>
          <w:lang w:val="en-US"/>
        </w:rPr>
      </w:pPr>
    </w:p>
    <w:p w:rsidR="005016F6" w:rsidRPr="005016F6" w:rsidRDefault="005016F6" w:rsidP="005016F6">
      <w:pPr>
        <w:jc w:val="both"/>
        <w:rPr>
          <w:sz w:val="24"/>
        </w:rPr>
      </w:pPr>
      <w:r w:rsidRPr="005016F6">
        <w:rPr>
          <w:sz w:val="24"/>
        </w:rPr>
        <w:t xml:space="preserve">Los datos a rellenar son los siguientes (las menciones al articulado se refieren al Protocolo de Origen del Acuerdo UE/Japón – Capítulo 3): </w:t>
      </w:r>
    </w:p>
    <w:p w:rsidR="005016F6" w:rsidRPr="005016F6" w:rsidRDefault="005016F6" w:rsidP="005016F6">
      <w:pPr>
        <w:jc w:val="both"/>
        <w:rPr>
          <w:sz w:val="24"/>
        </w:rPr>
      </w:pPr>
    </w:p>
    <w:p w:rsidR="005016F6" w:rsidRPr="005016F6" w:rsidRDefault="005016F6" w:rsidP="005016F6">
      <w:pPr>
        <w:numPr>
          <w:ilvl w:val="0"/>
          <w:numId w:val="4"/>
        </w:numPr>
        <w:jc w:val="both"/>
        <w:rPr>
          <w:sz w:val="24"/>
        </w:rPr>
      </w:pPr>
      <w:r w:rsidRPr="005016F6">
        <w:rPr>
          <w:sz w:val="24"/>
        </w:rPr>
        <w:t xml:space="preserve">Indicar el periodo de tiempo al que se aplica la declaración de origen, en el caso de una declaración de origen para varios envíos de productos originarios idénticos (artículo </w:t>
      </w:r>
      <w:r w:rsidRPr="005016F6">
        <w:rPr>
          <w:sz w:val="24"/>
        </w:rPr>
        <w:lastRenderedPageBreak/>
        <w:t>3.17.5.b). El periodo no puede exceder de 12 meses. Todas las importaciones del producto deberán realizarse dentro del período indicado. Cuando un período no sea aplicable, se podrá dejar este campo en blanco.</w:t>
      </w:r>
    </w:p>
    <w:p w:rsidR="005016F6" w:rsidRPr="005016F6" w:rsidRDefault="005016F6" w:rsidP="005016F6">
      <w:pPr>
        <w:numPr>
          <w:ilvl w:val="0"/>
          <w:numId w:val="4"/>
        </w:numPr>
        <w:jc w:val="both"/>
        <w:rPr>
          <w:sz w:val="24"/>
        </w:rPr>
      </w:pPr>
      <w:r w:rsidRPr="005016F6">
        <w:rPr>
          <w:sz w:val="24"/>
        </w:rPr>
        <w:t xml:space="preserve">Indicar el número de referencia que permite identificar al exportador. El exportador de la Unión Europea, debe estar registrado en el sistema REX, y por tanto, debe introducir en este apartado el número REX que le sea asignado. Para el exportador japonés, este será el número corporativo japonés. </w:t>
      </w:r>
    </w:p>
    <w:p w:rsidR="005016F6" w:rsidRPr="005016F6" w:rsidRDefault="005016F6" w:rsidP="005016F6">
      <w:pPr>
        <w:numPr>
          <w:ilvl w:val="0"/>
          <w:numId w:val="4"/>
        </w:numPr>
        <w:jc w:val="both"/>
        <w:rPr>
          <w:sz w:val="24"/>
        </w:rPr>
      </w:pPr>
      <w:r w:rsidRPr="005016F6">
        <w:rPr>
          <w:sz w:val="24"/>
        </w:rPr>
        <w:t>Indicar el origen del producto: Unión Europea o Japón</w:t>
      </w:r>
    </w:p>
    <w:p w:rsidR="005016F6" w:rsidRPr="005016F6" w:rsidRDefault="005016F6" w:rsidP="005016F6">
      <w:pPr>
        <w:numPr>
          <w:ilvl w:val="0"/>
          <w:numId w:val="4"/>
        </w:numPr>
        <w:jc w:val="both"/>
        <w:rPr>
          <w:sz w:val="24"/>
        </w:rPr>
      </w:pPr>
      <w:r w:rsidRPr="005016F6">
        <w:rPr>
          <w:sz w:val="24"/>
        </w:rPr>
        <w:t>Se introduce una novedad en esta declaración, respecto a otros ALC: Criterios de origen aplicados, debiendo indicar uno o varios de los siguientes códigos:</w:t>
      </w:r>
    </w:p>
    <w:p w:rsidR="005016F6" w:rsidRPr="005016F6" w:rsidRDefault="005016F6" w:rsidP="005016F6">
      <w:pPr>
        <w:numPr>
          <w:ilvl w:val="0"/>
          <w:numId w:val="5"/>
        </w:numPr>
        <w:jc w:val="both"/>
        <w:rPr>
          <w:sz w:val="24"/>
        </w:rPr>
      </w:pPr>
      <w:r w:rsidRPr="005016F6">
        <w:rPr>
          <w:sz w:val="24"/>
        </w:rPr>
        <w:t xml:space="preserve">(A) para el producto que es enteramente obtenido, según el artículo 3.2.1.a </w:t>
      </w:r>
    </w:p>
    <w:p w:rsidR="005016F6" w:rsidRPr="005016F6" w:rsidRDefault="005016F6" w:rsidP="005016F6">
      <w:pPr>
        <w:numPr>
          <w:ilvl w:val="0"/>
          <w:numId w:val="5"/>
        </w:numPr>
        <w:jc w:val="both"/>
        <w:rPr>
          <w:sz w:val="24"/>
        </w:rPr>
      </w:pPr>
      <w:r w:rsidRPr="005016F6">
        <w:rPr>
          <w:sz w:val="24"/>
        </w:rPr>
        <w:t>(B) para el producto que es obtenido a partir de materiales originarios, según el artículo 3.2.1.b</w:t>
      </w:r>
    </w:p>
    <w:p w:rsidR="005016F6" w:rsidRPr="005016F6" w:rsidRDefault="005016F6" w:rsidP="005016F6">
      <w:pPr>
        <w:numPr>
          <w:ilvl w:val="0"/>
          <w:numId w:val="5"/>
        </w:numPr>
        <w:jc w:val="both"/>
        <w:rPr>
          <w:sz w:val="24"/>
        </w:rPr>
      </w:pPr>
      <w:r w:rsidRPr="005016F6">
        <w:rPr>
          <w:sz w:val="24"/>
        </w:rPr>
        <w:t>(C) para el producto que es obtenido a partir de materiales no originarios que cumplan los requisitos establecidos en el Anexo 3-B, según el artículo 3.2.1.c, con la siguiente información adicional:</w:t>
      </w:r>
    </w:p>
    <w:p w:rsidR="005016F6" w:rsidRPr="005016F6" w:rsidRDefault="005016F6" w:rsidP="005016F6">
      <w:pPr>
        <w:numPr>
          <w:ilvl w:val="1"/>
          <w:numId w:val="5"/>
        </w:numPr>
        <w:jc w:val="both"/>
        <w:rPr>
          <w:sz w:val="24"/>
        </w:rPr>
      </w:pPr>
      <w:r w:rsidRPr="005016F6">
        <w:rPr>
          <w:sz w:val="24"/>
        </w:rPr>
        <w:t>(1) para una norma de cambio de clasificación arancelaria</w:t>
      </w:r>
    </w:p>
    <w:p w:rsidR="005016F6" w:rsidRPr="005016F6" w:rsidRDefault="005016F6" w:rsidP="005016F6">
      <w:pPr>
        <w:numPr>
          <w:ilvl w:val="1"/>
          <w:numId w:val="5"/>
        </w:numPr>
        <w:jc w:val="both"/>
        <w:rPr>
          <w:sz w:val="24"/>
        </w:rPr>
      </w:pPr>
      <w:r w:rsidRPr="005016F6">
        <w:rPr>
          <w:sz w:val="24"/>
        </w:rPr>
        <w:t>(2) para una norma de valor máximo de materiales no originarios o un mínimo contenido de valor regional</w:t>
      </w:r>
    </w:p>
    <w:p w:rsidR="005016F6" w:rsidRPr="005016F6" w:rsidRDefault="005016F6" w:rsidP="005016F6">
      <w:pPr>
        <w:numPr>
          <w:ilvl w:val="1"/>
          <w:numId w:val="5"/>
        </w:numPr>
        <w:jc w:val="both"/>
        <w:rPr>
          <w:sz w:val="24"/>
        </w:rPr>
      </w:pPr>
      <w:r w:rsidRPr="005016F6">
        <w:rPr>
          <w:sz w:val="24"/>
        </w:rPr>
        <w:t>(3) para una norma de proceso de producción específico</w:t>
      </w:r>
    </w:p>
    <w:p w:rsidR="005016F6" w:rsidRPr="005016F6" w:rsidRDefault="005016F6" w:rsidP="005016F6">
      <w:pPr>
        <w:numPr>
          <w:ilvl w:val="1"/>
          <w:numId w:val="5"/>
        </w:numPr>
        <w:jc w:val="both"/>
        <w:rPr>
          <w:sz w:val="24"/>
        </w:rPr>
      </w:pPr>
      <w:r w:rsidRPr="005016F6">
        <w:rPr>
          <w:sz w:val="24"/>
        </w:rPr>
        <w:t>(4) en caso de aplicación de las disposiciones de la sección 3 del Apéndice 3-B-1</w:t>
      </w:r>
    </w:p>
    <w:p w:rsidR="005016F6" w:rsidRPr="005016F6" w:rsidRDefault="005016F6" w:rsidP="005016F6">
      <w:pPr>
        <w:numPr>
          <w:ilvl w:val="0"/>
          <w:numId w:val="5"/>
        </w:numPr>
        <w:jc w:val="both"/>
        <w:rPr>
          <w:sz w:val="24"/>
        </w:rPr>
      </w:pPr>
      <w:r w:rsidRPr="005016F6">
        <w:rPr>
          <w:sz w:val="24"/>
        </w:rPr>
        <w:t>(D) para la acumulación del artículo 3.5.</w:t>
      </w:r>
    </w:p>
    <w:p w:rsidR="005016F6" w:rsidRPr="005016F6" w:rsidRDefault="005016F6" w:rsidP="005016F6">
      <w:pPr>
        <w:numPr>
          <w:ilvl w:val="0"/>
          <w:numId w:val="5"/>
        </w:numPr>
        <w:jc w:val="both"/>
        <w:rPr>
          <w:sz w:val="24"/>
        </w:rPr>
      </w:pPr>
      <w:r w:rsidRPr="005016F6">
        <w:rPr>
          <w:sz w:val="24"/>
        </w:rPr>
        <w:t>(E) para las tolerancias contempladas en el artículo 3.6.</w:t>
      </w:r>
    </w:p>
    <w:p w:rsidR="005016F6" w:rsidRPr="005016F6" w:rsidRDefault="005016F6" w:rsidP="005016F6">
      <w:pPr>
        <w:numPr>
          <w:ilvl w:val="0"/>
          <w:numId w:val="4"/>
        </w:numPr>
        <w:jc w:val="both"/>
        <w:rPr>
          <w:sz w:val="24"/>
        </w:rPr>
      </w:pPr>
      <w:r w:rsidRPr="005016F6">
        <w:rPr>
          <w:sz w:val="24"/>
        </w:rPr>
        <w:t xml:space="preserve">Indicar el lugar y la fecha. Esto podrá omitirse si el propio documento contiene ya dicha información. </w:t>
      </w:r>
    </w:p>
    <w:p w:rsidR="005016F6" w:rsidRPr="005016F6" w:rsidRDefault="005016F6" w:rsidP="005016F6">
      <w:pPr>
        <w:jc w:val="both"/>
        <w:rPr>
          <w:sz w:val="24"/>
        </w:rPr>
      </w:pPr>
    </w:p>
    <w:p w:rsidR="005016F6" w:rsidRPr="005016F6" w:rsidRDefault="005016F6" w:rsidP="005016F6">
      <w:pPr>
        <w:numPr>
          <w:ilvl w:val="0"/>
          <w:numId w:val="6"/>
        </w:numPr>
        <w:jc w:val="both"/>
        <w:rPr>
          <w:sz w:val="24"/>
          <w:u w:val="single"/>
        </w:rPr>
      </w:pPr>
      <w:r w:rsidRPr="005016F6">
        <w:rPr>
          <w:sz w:val="24"/>
          <w:u w:val="single"/>
        </w:rPr>
        <w:t>Conocimiento del importador</w:t>
      </w:r>
    </w:p>
    <w:p w:rsidR="005016F6" w:rsidRPr="005016F6" w:rsidRDefault="005016F6" w:rsidP="005016F6">
      <w:pPr>
        <w:jc w:val="both"/>
        <w:rPr>
          <w:sz w:val="24"/>
        </w:rPr>
      </w:pPr>
    </w:p>
    <w:p w:rsidR="005016F6" w:rsidRPr="005016F6" w:rsidRDefault="005016F6" w:rsidP="005016F6">
      <w:pPr>
        <w:jc w:val="both"/>
        <w:rPr>
          <w:sz w:val="24"/>
        </w:rPr>
      </w:pPr>
      <w:r w:rsidRPr="005016F6">
        <w:rPr>
          <w:sz w:val="24"/>
        </w:rPr>
        <w:t>El conocimiento del importador es una novedad con respecto a otros ALC de la UE. El importador aceptará la responsabilidad por la veracidad de la prueba de origen aportada. Esta posibilidad requiere una fuerte vinculación y confianza entre importador y exportador, ya que req</w:t>
      </w:r>
      <w:r>
        <w:rPr>
          <w:sz w:val="24"/>
        </w:rPr>
        <w:t xml:space="preserve">uiere trasladar información que, </w:t>
      </w:r>
      <w:r w:rsidRPr="005016F6">
        <w:rPr>
          <w:sz w:val="24"/>
        </w:rPr>
        <w:t>en muchos casos</w:t>
      </w:r>
      <w:r>
        <w:rPr>
          <w:sz w:val="24"/>
        </w:rPr>
        <w:t>,</w:t>
      </w:r>
      <w:r w:rsidRPr="005016F6">
        <w:rPr>
          <w:sz w:val="24"/>
        </w:rPr>
        <w:t xml:space="preserve"> puede ser confidencial</w:t>
      </w:r>
      <w:r>
        <w:rPr>
          <w:sz w:val="24"/>
        </w:rPr>
        <w:t xml:space="preserve">, </w:t>
      </w:r>
      <w:r w:rsidRPr="005016F6">
        <w:rPr>
          <w:sz w:val="24"/>
        </w:rPr>
        <w:t>sobre el origen de materias primas y componentes.</w:t>
      </w:r>
    </w:p>
    <w:p w:rsidR="005016F6" w:rsidRDefault="005016F6" w:rsidP="005016F6">
      <w:pPr>
        <w:jc w:val="both"/>
        <w:rPr>
          <w:sz w:val="24"/>
        </w:rPr>
      </w:pPr>
      <w:r w:rsidRPr="005016F6">
        <w:rPr>
          <w:sz w:val="24"/>
        </w:rPr>
        <w:t xml:space="preserve">La Comisión he elaborado una </w:t>
      </w:r>
      <w:hyperlink r:id="rId8" w:history="1">
        <w:r>
          <w:rPr>
            <w:rStyle w:val="Hipervnculo"/>
            <w:i/>
            <w:sz w:val="24"/>
          </w:rPr>
          <w:t>Guía interpretativa sobre el conocimiento del importador</w:t>
        </w:r>
      </w:hyperlink>
      <w:r w:rsidRPr="005016F6">
        <w:rPr>
          <w:sz w:val="24"/>
        </w:rPr>
        <w:t>, para poder utilizar esta nueva forma de solicitud del trato arancelario.</w:t>
      </w:r>
    </w:p>
    <w:p w:rsidR="005016F6" w:rsidRDefault="005016F6" w:rsidP="005016F6">
      <w:pPr>
        <w:jc w:val="both"/>
        <w:rPr>
          <w:sz w:val="24"/>
        </w:rPr>
      </w:pPr>
    </w:p>
    <w:p w:rsidR="005016F6" w:rsidRDefault="005016F6" w:rsidP="005016F6">
      <w:pPr>
        <w:jc w:val="both"/>
        <w:rPr>
          <w:sz w:val="24"/>
        </w:rPr>
      </w:pPr>
      <w:r>
        <w:rPr>
          <w:sz w:val="24"/>
        </w:rPr>
        <w:t xml:space="preserve">Esta guía forma parte de una Guía interpretativa completa sobre </w:t>
      </w:r>
      <w:r w:rsidRPr="005016F6">
        <w:rPr>
          <w:sz w:val="24"/>
        </w:rPr>
        <w:t xml:space="preserve">reglas de origen </w:t>
      </w:r>
      <w:r>
        <w:rPr>
          <w:sz w:val="24"/>
        </w:rPr>
        <w:t>de este A</w:t>
      </w:r>
      <w:r w:rsidRPr="005016F6">
        <w:rPr>
          <w:sz w:val="24"/>
        </w:rPr>
        <w:t xml:space="preserve">cuerdo con Japón que </w:t>
      </w:r>
      <w:r>
        <w:rPr>
          <w:sz w:val="24"/>
        </w:rPr>
        <w:t>la Comisión Europea</w:t>
      </w:r>
      <w:r w:rsidRPr="005016F6">
        <w:rPr>
          <w:sz w:val="24"/>
        </w:rPr>
        <w:t xml:space="preserve"> publicará próximamente en su página Web. No obstante,</w:t>
      </w:r>
      <w:r>
        <w:rPr>
          <w:sz w:val="24"/>
        </w:rPr>
        <w:t xml:space="preserve"> además de la guía sobre conocimiento del importador,</w:t>
      </w:r>
      <w:r w:rsidRPr="005016F6">
        <w:rPr>
          <w:sz w:val="24"/>
        </w:rPr>
        <w:t xml:space="preserve"> ya se encuentran disponibles </w:t>
      </w:r>
      <w:hyperlink r:id="rId9" w:history="1">
        <w:r>
          <w:rPr>
            <w:rStyle w:val="Hipervnculo"/>
            <w:i/>
            <w:sz w:val="24"/>
          </w:rPr>
          <w:t>otros elementos</w:t>
        </w:r>
      </w:hyperlink>
      <w:r w:rsidRPr="005016F6">
        <w:rPr>
          <w:sz w:val="24"/>
        </w:rPr>
        <w:t xml:space="preserve"> de la misma.</w:t>
      </w:r>
    </w:p>
    <w:p w:rsidR="005016F6" w:rsidRDefault="005016F6" w:rsidP="005016F6">
      <w:pPr>
        <w:jc w:val="both"/>
        <w:rPr>
          <w:sz w:val="24"/>
        </w:rPr>
      </w:pPr>
    </w:p>
    <w:p w:rsidR="005016F6" w:rsidRDefault="005016F6" w:rsidP="005016F6">
      <w:pPr>
        <w:jc w:val="both"/>
        <w:rPr>
          <w:sz w:val="24"/>
        </w:rPr>
      </w:pPr>
      <w:r w:rsidRPr="005016F6">
        <w:rPr>
          <w:sz w:val="24"/>
        </w:rPr>
        <w:t>A diferencia de otros acuerdos bilaterales, e igual que ocurrió en el caso de Canadá, no está prevista la posibilidad de expedición de certificado de origen (EUR.1) por parte de las autoridades aduaneras.</w:t>
      </w:r>
    </w:p>
    <w:p w:rsidR="005016F6" w:rsidRPr="005016F6" w:rsidRDefault="005016F6" w:rsidP="005016F6">
      <w:pPr>
        <w:jc w:val="both"/>
        <w:rPr>
          <w:sz w:val="24"/>
        </w:rPr>
      </w:pPr>
    </w:p>
    <w:p w:rsidR="005661E7" w:rsidRPr="005016F6" w:rsidRDefault="005016F6">
      <w:pPr>
        <w:jc w:val="both"/>
        <w:rPr>
          <w:i/>
          <w:sz w:val="24"/>
        </w:rPr>
      </w:pPr>
      <w:r w:rsidRPr="005016F6">
        <w:rPr>
          <w:i/>
          <w:sz w:val="24"/>
        </w:rPr>
        <w:t>Para más información pueden dirigirse a Ana Sánchez-Cano Pérez (</w:t>
      </w:r>
      <w:hyperlink r:id="rId10" w:history="1">
        <w:r w:rsidRPr="005016F6">
          <w:rPr>
            <w:rStyle w:val="Hipervnculo"/>
            <w:i/>
            <w:sz w:val="24"/>
          </w:rPr>
          <w:t>ascano@mincotur.es</w:t>
        </w:r>
      </w:hyperlink>
      <w:r w:rsidRPr="005016F6">
        <w:rPr>
          <w:i/>
          <w:sz w:val="24"/>
        </w:rPr>
        <w:t>).</w:t>
      </w:r>
    </w:p>
    <w:sectPr w:rsidR="005661E7" w:rsidRPr="005016F6">
      <w:headerReference w:type="even" r:id="rId11"/>
      <w:headerReference w:type="default" r:id="rId12"/>
      <w:footerReference w:type="even" r:id="rId13"/>
      <w:footerReference w:type="default" r:id="rId14"/>
      <w:headerReference w:type="first" r:id="rId15"/>
      <w:footerReference w:type="first" r:id="rId16"/>
      <w:type w:val="continuous"/>
      <w:pgSz w:w="11905" w:h="16837" w:code="9"/>
      <w:pgMar w:top="1560" w:right="1440" w:bottom="1418" w:left="1440" w:header="851" w:footer="96"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D18" w:rsidRDefault="00704D18">
      <w:r>
        <w:separator/>
      </w:r>
    </w:p>
  </w:endnote>
  <w:endnote w:type="continuationSeparator" w:id="0">
    <w:p w:rsidR="00704D18" w:rsidRDefault="0070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029" w:rsidRDefault="007F102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859" w:type="dxa"/>
      <w:tblLayout w:type="fixed"/>
      <w:tblCellMar>
        <w:left w:w="70" w:type="dxa"/>
        <w:right w:w="70" w:type="dxa"/>
      </w:tblCellMar>
      <w:tblLook w:val="0000" w:firstRow="0" w:lastRow="0" w:firstColumn="0" w:lastColumn="0" w:noHBand="0" w:noVBand="0"/>
    </w:tblPr>
    <w:tblGrid>
      <w:gridCol w:w="1134"/>
    </w:tblGrid>
    <w:tr w:rsidR="00417514">
      <w:trPr>
        <w:cantSplit/>
        <w:trHeight w:val="144"/>
      </w:trPr>
      <w:tc>
        <w:tcPr>
          <w:tcW w:w="1134" w:type="dxa"/>
          <w:vMerge w:val="restart"/>
        </w:tcPr>
        <w:p w:rsidR="00417514" w:rsidRDefault="00417514" w:rsidP="002022F1">
          <w:pPr>
            <w:pStyle w:val="Encabezado"/>
            <w:rPr>
              <w:sz w:val="12"/>
              <w:szCs w:val="12"/>
            </w:rPr>
          </w:pPr>
          <w:r>
            <w:rPr>
              <w:sz w:val="12"/>
              <w:szCs w:val="12"/>
            </w:rPr>
            <w:t xml:space="preserve">MINISTERIO </w:t>
          </w:r>
        </w:p>
        <w:p w:rsidR="00417514" w:rsidRDefault="00417514" w:rsidP="002022F1">
          <w:pPr>
            <w:pStyle w:val="Encabezado"/>
            <w:rPr>
              <w:sz w:val="12"/>
              <w:szCs w:val="12"/>
            </w:rPr>
          </w:pPr>
          <w:r>
            <w:rPr>
              <w:sz w:val="12"/>
              <w:szCs w:val="12"/>
            </w:rPr>
            <w:t>DE INDUSTRIA,</w:t>
          </w:r>
        </w:p>
        <w:p w:rsidR="00417514" w:rsidRDefault="00417514" w:rsidP="002022F1">
          <w:pPr>
            <w:rPr>
              <w:sz w:val="12"/>
              <w:szCs w:val="12"/>
            </w:rPr>
          </w:pPr>
          <w:r>
            <w:rPr>
              <w:sz w:val="12"/>
              <w:szCs w:val="12"/>
            </w:rPr>
            <w:t>TURISMO Y COMERCIO</w:t>
          </w:r>
        </w:p>
        <w:p w:rsidR="00417514" w:rsidRDefault="00417514">
          <w:pPr>
            <w:pStyle w:val="Piedepgina"/>
            <w:spacing w:line="144" w:lineRule="exact"/>
            <w:rPr>
              <w:rFonts w:ascii="Arial" w:hAnsi="Arial"/>
              <w:sz w:val="11"/>
            </w:rPr>
          </w:pPr>
        </w:p>
      </w:tc>
    </w:tr>
    <w:tr w:rsidR="00417514">
      <w:trPr>
        <w:cantSplit/>
        <w:trHeight w:hRule="exact" w:val="200"/>
      </w:trPr>
      <w:tc>
        <w:tcPr>
          <w:tcW w:w="1134" w:type="dxa"/>
          <w:vMerge/>
        </w:tcPr>
        <w:p w:rsidR="00417514" w:rsidRDefault="00417514">
          <w:pPr>
            <w:pStyle w:val="Piedepgina"/>
            <w:rPr>
              <w:rFonts w:ascii="Arial" w:hAnsi="Arial"/>
              <w:sz w:val="14"/>
            </w:rPr>
          </w:pPr>
        </w:p>
      </w:tc>
    </w:tr>
    <w:tr w:rsidR="00417514">
      <w:trPr>
        <w:cantSplit/>
        <w:trHeight w:val="424"/>
      </w:trPr>
      <w:tc>
        <w:tcPr>
          <w:tcW w:w="1134" w:type="dxa"/>
          <w:vMerge/>
        </w:tcPr>
        <w:p w:rsidR="00417514" w:rsidRDefault="00417514">
          <w:pPr>
            <w:pStyle w:val="Piedepgina"/>
            <w:rPr>
              <w:rFonts w:ascii="Arial" w:hAnsi="Arial"/>
              <w:sz w:val="14"/>
            </w:rPr>
          </w:pPr>
        </w:p>
      </w:tc>
    </w:tr>
  </w:tbl>
  <w:p w:rsidR="00417514" w:rsidRDefault="0041751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497" w:type="dxa"/>
      <w:tblLayout w:type="fixed"/>
      <w:tblCellMar>
        <w:left w:w="70" w:type="dxa"/>
        <w:right w:w="70" w:type="dxa"/>
      </w:tblCellMar>
      <w:tblLook w:val="0000" w:firstRow="0" w:lastRow="0" w:firstColumn="0" w:lastColumn="0" w:noHBand="0" w:noVBand="0"/>
    </w:tblPr>
    <w:tblGrid>
      <w:gridCol w:w="3261"/>
      <w:gridCol w:w="1558"/>
      <w:gridCol w:w="2836"/>
      <w:gridCol w:w="2410"/>
    </w:tblGrid>
    <w:tr w:rsidR="00980214">
      <w:trPr>
        <w:cantSplit/>
      </w:trPr>
      <w:tc>
        <w:tcPr>
          <w:tcW w:w="3261" w:type="dxa"/>
          <w:tcBorders>
            <w:top w:val="nil"/>
            <w:left w:val="nil"/>
            <w:bottom w:val="single" w:sz="4" w:space="0" w:color="auto"/>
            <w:right w:val="nil"/>
          </w:tcBorders>
          <w:shd w:val="clear" w:color="auto" w:fill="auto"/>
          <w:vAlign w:val="center"/>
        </w:tcPr>
        <w:p w:rsidR="00980214" w:rsidRDefault="00980214">
          <w:pPr>
            <w:pStyle w:val="Piedepgina"/>
            <w:rPr>
              <w:rFonts w:ascii="Arial" w:hAnsi="Arial"/>
              <w:sz w:val="14"/>
            </w:rPr>
          </w:pPr>
        </w:p>
      </w:tc>
      <w:tc>
        <w:tcPr>
          <w:tcW w:w="1558" w:type="dxa"/>
          <w:shd w:val="clear" w:color="auto" w:fill="auto"/>
        </w:tcPr>
        <w:p w:rsidR="00980214" w:rsidRDefault="00980214">
          <w:pPr>
            <w:pStyle w:val="Piedepgina"/>
          </w:pPr>
        </w:p>
      </w:tc>
      <w:tc>
        <w:tcPr>
          <w:tcW w:w="2836" w:type="dxa"/>
          <w:tcBorders>
            <w:top w:val="nil"/>
            <w:left w:val="nil"/>
            <w:bottom w:val="nil"/>
            <w:right w:val="single" w:sz="4" w:space="0" w:color="auto"/>
          </w:tcBorders>
          <w:shd w:val="clear" w:color="auto" w:fill="auto"/>
        </w:tcPr>
        <w:p w:rsidR="00980214" w:rsidRDefault="00980214">
          <w:pPr>
            <w:pStyle w:val="Piedepgina"/>
          </w:pPr>
        </w:p>
      </w:tc>
      <w:tc>
        <w:tcPr>
          <w:tcW w:w="2410" w:type="dxa"/>
          <w:vMerge w:val="restart"/>
          <w:tcBorders>
            <w:top w:val="nil"/>
            <w:left w:val="single" w:sz="4" w:space="0" w:color="auto"/>
            <w:bottom w:val="nil"/>
            <w:right w:val="nil"/>
          </w:tcBorders>
          <w:shd w:val="clear" w:color="auto" w:fill="auto"/>
        </w:tcPr>
        <w:p w:rsidR="00980214" w:rsidRDefault="00980214">
          <w:pPr>
            <w:pStyle w:val="Piedepgina"/>
            <w:spacing w:line="144" w:lineRule="exact"/>
            <w:rPr>
              <w:rFonts w:ascii="Arial" w:hAnsi="Arial"/>
              <w:sz w:val="14"/>
            </w:rPr>
          </w:pPr>
          <w:r>
            <w:rPr>
              <w:rFonts w:ascii="Arial" w:hAnsi="Arial"/>
              <w:sz w:val="14"/>
            </w:rPr>
            <w:t>Pº. DE LA CASTELLANA, 162</w:t>
          </w:r>
        </w:p>
        <w:p w:rsidR="00980214" w:rsidRDefault="00980214">
          <w:pPr>
            <w:pStyle w:val="Piedepgina"/>
            <w:spacing w:line="144" w:lineRule="exact"/>
            <w:rPr>
              <w:rFonts w:ascii="Arial" w:hAnsi="Arial"/>
              <w:sz w:val="14"/>
            </w:rPr>
          </w:pPr>
          <w:r>
            <w:rPr>
              <w:rFonts w:ascii="Arial" w:hAnsi="Arial"/>
              <w:sz w:val="14"/>
            </w:rPr>
            <w:t>28046  MADRID</w:t>
          </w:r>
        </w:p>
        <w:p w:rsidR="00980214" w:rsidRDefault="00980214">
          <w:pPr>
            <w:pStyle w:val="Piedepgina"/>
            <w:spacing w:line="144" w:lineRule="exact"/>
            <w:rPr>
              <w:rFonts w:ascii="Arial" w:hAnsi="Arial"/>
              <w:sz w:val="14"/>
            </w:rPr>
          </w:pPr>
          <w:r>
            <w:rPr>
              <w:rFonts w:ascii="Arial" w:hAnsi="Arial"/>
              <w:sz w:val="14"/>
            </w:rPr>
            <w:t>TEL.: 91 3493895</w:t>
          </w:r>
        </w:p>
        <w:p w:rsidR="00980214" w:rsidRDefault="00980214">
          <w:pPr>
            <w:pStyle w:val="Piedepgina"/>
            <w:spacing w:line="144" w:lineRule="exact"/>
            <w:rPr>
              <w:rFonts w:ascii="Arial" w:hAnsi="Arial"/>
              <w:sz w:val="14"/>
            </w:rPr>
          </w:pPr>
          <w:r>
            <w:rPr>
              <w:rFonts w:ascii="Arial" w:hAnsi="Arial"/>
              <w:sz w:val="14"/>
            </w:rPr>
            <w:t>FAX: 91  34938</w:t>
          </w:r>
          <w:r w:rsidR="0016569A">
            <w:rPr>
              <w:rFonts w:ascii="Arial" w:hAnsi="Arial"/>
              <w:sz w:val="14"/>
            </w:rPr>
            <w:t>97</w:t>
          </w:r>
        </w:p>
        <w:p w:rsidR="00980214" w:rsidRDefault="00980214" w:rsidP="00B1236D">
          <w:pPr>
            <w:pStyle w:val="Piedepgina"/>
            <w:spacing w:line="144" w:lineRule="exact"/>
            <w:rPr>
              <w:rFonts w:ascii="Arial" w:hAnsi="Arial"/>
              <w:sz w:val="14"/>
            </w:rPr>
          </w:pPr>
          <w:r>
            <w:rPr>
              <w:rFonts w:ascii="Arial" w:hAnsi="Arial"/>
              <w:sz w:val="14"/>
            </w:rPr>
            <w:t xml:space="preserve">Buzón Oficial </w:t>
          </w:r>
          <w:r w:rsidR="00833700">
            <w:rPr>
              <w:rFonts w:ascii="Arial" w:hAnsi="Arial"/>
              <w:sz w:val="14"/>
            </w:rPr>
            <w:t>sgpar.sscc@comercio.</w:t>
          </w:r>
          <w:r w:rsidR="00B1236D">
            <w:rPr>
              <w:rFonts w:ascii="Arial" w:hAnsi="Arial"/>
              <w:sz w:val="14"/>
            </w:rPr>
            <w:t>mineco</w:t>
          </w:r>
          <w:r w:rsidR="00833700">
            <w:rPr>
              <w:rFonts w:ascii="Arial" w:hAnsi="Arial"/>
              <w:sz w:val="14"/>
            </w:rPr>
            <w:t>.es</w:t>
          </w:r>
        </w:p>
      </w:tc>
    </w:tr>
    <w:tr w:rsidR="00980214">
      <w:trPr>
        <w:cantSplit/>
        <w:trHeight w:val="2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980214" w:rsidRDefault="00980214">
          <w:pPr>
            <w:pStyle w:val="Piedepgina"/>
            <w:rPr>
              <w:rFonts w:ascii="Arial" w:hAnsi="Arial"/>
              <w:sz w:val="13"/>
            </w:rPr>
          </w:pPr>
          <w:r>
            <w:rPr>
              <w:rFonts w:ascii="Arial" w:hAnsi="Arial"/>
              <w:sz w:val="13"/>
            </w:rPr>
            <w:t>PÁGINA WEB:</w:t>
          </w:r>
          <w:r>
            <w:rPr>
              <w:rFonts w:ascii="Arial" w:hAnsi="Arial"/>
            </w:rPr>
            <w:t xml:space="preserve"> http://www.comercio.es </w:t>
          </w:r>
        </w:p>
      </w:tc>
      <w:tc>
        <w:tcPr>
          <w:tcW w:w="1558" w:type="dxa"/>
          <w:tcBorders>
            <w:top w:val="nil"/>
            <w:left w:val="single" w:sz="4" w:space="0" w:color="auto"/>
            <w:bottom w:val="nil"/>
            <w:right w:val="nil"/>
          </w:tcBorders>
          <w:shd w:val="clear" w:color="auto" w:fill="auto"/>
        </w:tcPr>
        <w:p w:rsidR="00980214" w:rsidRDefault="00980214">
          <w:pPr>
            <w:pStyle w:val="Piedepgina"/>
          </w:pPr>
        </w:p>
      </w:tc>
      <w:tc>
        <w:tcPr>
          <w:tcW w:w="2836" w:type="dxa"/>
          <w:tcBorders>
            <w:top w:val="nil"/>
            <w:left w:val="nil"/>
            <w:bottom w:val="nil"/>
            <w:right w:val="single" w:sz="4" w:space="0" w:color="auto"/>
          </w:tcBorders>
          <w:shd w:val="clear" w:color="auto" w:fill="auto"/>
        </w:tcPr>
        <w:p w:rsidR="00980214" w:rsidRDefault="00980214">
          <w:pPr>
            <w:pStyle w:val="Piedepgina"/>
          </w:pPr>
        </w:p>
      </w:tc>
      <w:tc>
        <w:tcPr>
          <w:tcW w:w="2410" w:type="dxa"/>
          <w:vMerge/>
          <w:tcBorders>
            <w:top w:val="nil"/>
            <w:left w:val="single" w:sz="4" w:space="0" w:color="auto"/>
            <w:bottom w:val="nil"/>
            <w:right w:val="nil"/>
          </w:tcBorders>
          <w:shd w:val="clear" w:color="auto" w:fill="auto"/>
          <w:vAlign w:val="center"/>
        </w:tcPr>
        <w:p w:rsidR="00980214" w:rsidRDefault="00980214">
          <w:pPr>
            <w:rPr>
              <w:rFonts w:ascii="Arial" w:hAnsi="Arial"/>
              <w:sz w:val="14"/>
            </w:rPr>
          </w:pPr>
        </w:p>
      </w:tc>
    </w:tr>
    <w:tr w:rsidR="00980214">
      <w:trPr>
        <w:cantSplit/>
        <w:trHeight w:val="424"/>
      </w:trPr>
      <w:tc>
        <w:tcPr>
          <w:tcW w:w="4819" w:type="dxa"/>
          <w:gridSpan w:val="2"/>
          <w:shd w:val="clear" w:color="auto" w:fill="auto"/>
          <w:vAlign w:val="center"/>
        </w:tcPr>
        <w:p w:rsidR="00980214" w:rsidRDefault="00980214">
          <w:pPr>
            <w:pStyle w:val="Piedepgina"/>
            <w:ind w:left="-70"/>
            <w:rPr>
              <w:rFonts w:ascii="Arial" w:hAnsi="Arial"/>
            </w:rPr>
          </w:pPr>
        </w:p>
      </w:tc>
      <w:tc>
        <w:tcPr>
          <w:tcW w:w="2836" w:type="dxa"/>
          <w:tcBorders>
            <w:top w:val="nil"/>
            <w:left w:val="nil"/>
            <w:bottom w:val="nil"/>
            <w:right w:val="single" w:sz="4" w:space="0" w:color="auto"/>
          </w:tcBorders>
          <w:shd w:val="clear" w:color="auto" w:fill="auto"/>
        </w:tcPr>
        <w:p w:rsidR="00980214" w:rsidRDefault="00980214">
          <w:pPr>
            <w:pStyle w:val="Piedepgina"/>
          </w:pPr>
        </w:p>
      </w:tc>
      <w:tc>
        <w:tcPr>
          <w:tcW w:w="2410" w:type="dxa"/>
          <w:vMerge/>
          <w:tcBorders>
            <w:top w:val="nil"/>
            <w:left w:val="single" w:sz="4" w:space="0" w:color="auto"/>
            <w:bottom w:val="nil"/>
            <w:right w:val="nil"/>
          </w:tcBorders>
          <w:shd w:val="clear" w:color="auto" w:fill="auto"/>
          <w:vAlign w:val="center"/>
        </w:tcPr>
        <w:p w:rsidR="00980214" w:rsidRDefault="00980214">
          <w:pPr>
            <w:rPr>
              <w:rFonts w:ascii="Arial" w:hAnsi="Arial"/>
              <w:sz w:val="14"/>
            </w:rPr>
          </w:pPr>
        </w:p>
      </w:tc>
    </w:tr>
  </w:tbl>
  <w:p w:rsidR="00417514" w:rsidRDefault="004175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D18" w:rsidRDefault="00704D18">
      <w:r>
        <w:separator/>
      </w:r>
    </w:p>
  </w:footnote>
  <w:footnote w:type="continuationSeparator" w:id="0">
    <w:p w:rsidR="00704D18" w:rsidRDefault="00704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029" w:rsidRDefault="007F102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514" w:rsidRDefault="007F1029">
    <w:pPr>
      <w:pStyle w:val="Encabezado"/>
    </w:pPr>
    <w:r>
      <w:rPr>
        <w:noProof/>
      </w:rPr>
      <w:drawing>
        <wp:anchor distT="0" distB="0" distL="114300" distR="114300" simplePos="0" relativeHeight="251657728" behindDoc="0" locked="0" layoutInCell="0" allowOverlap="1">
          <wp:simplePos x="0" y="0"/>
          <wp:positionH relativeFrom="column">
            <wp:posOffset>5669280</wp:posOffset>
          </wp:positionH>
          <wp:positionV relativeFrom="paragraph">
            <wp:posOffset>-266065</wp:posOffset>
          </wp:positionV>
          <wp:extent cx="521970" cy="5492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 cy="5492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497" w:type="dxa"/>
      <w:tblLayout w:type="fixed"/>
      <w:tblCellMar>
        <w:left w:w="70" w:type="dxa"/>
        <w:right w:w="70" w:type="dxa"/>
      </w:tblCellMar>
      <w:tblLook w:val="0000" w:firstRow="0" w:lastRow="0" w:firstColumn="0" w:lastColumn="0" w:noHBand="0" w:noVBand="0"/>
    </w:tblPr>
    <w:tblGrid>
      <w:gridCol w:w="1204"/>
      <w:gridCol w:w="6451"/>
      <w:gridCol w:w="2268"/>
    </w:tblGrid>
    <w:tr w:rsidR="00417514">
      <w:trPr>
        <w:cantSplit/>
        <w:trHeight w:val="561"/>
      </w:trPr>
      <w:tc>
        <w:tcPr>
          <w:tcW w:w="1204" w:type="dxa"/>
          <w:vMerge w:val="restart"/>
        </w:tcPr>
        <w:p w:rsidR="00417514" w:rsidRDefault="00417514">
          <w:pPr>
            <w:pStyle w:val="Encabezado"/>
          </w:pPr>
          <w:r>
            <w:rPr>
              <w:b/>
              <w:noProof/>
            </w:rPr>
            <w:object w:dxaOrig="1209" w:dyaOrig="12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pt;height:55.25pt" fillcolor="window">
                <v:imagedata r:id="rId1" o:title=""/>
              </v:shape>
              <o:OLEObject Type="Embed" ProgID="Word.Picture.8" ShapeID="_x0000_i1025" DrawAspect="Content" ObjectID="_1612347981" r:id="rId2"/>
            </w:object>
          </w:r>
        </w:p>
      </w:tc>
      <w:tc>
        <w:tcPr>
          <w:tcW w:w="6451" w:type="dxa"/>
          <w:vMerge w:val="restart"/>
        </w:tcPr>
        <w:p w:rsidR="00417514" w:rsidRDefault="00417514">
          <w:pPr>
            <w:pStyle w:val="Encabezado"/>
            <w:rPr>
              <w:sz w:val="16"/>
            </w:rPr>
          </w:pPr>
          <w:r>
            <w:rPr>
              <w:sz w:val="16"/>
            </w:rPr>
            <w:t xml:space="preserve"> </w:t>
          </w:r>
        </w:p>
        <w:p w:rsidR="00417514" w:rsidRDefault="00417514">
          <w:pPr>
            <w:pStyle w:val="Encabezado"/>
            <w:rPr>
              <w:sz w:val="16"/>
            </w:rPr>
          </w:pPr>
        </w:p>
        <w:p w:rsidR="00417514" w:rsidRDefault="00417514" w:rsidP="002022F1">
          <w:pPr>
            <w:pStyle w:val="Encabezado"/>
            <w:rPr>
              <w:sz w:val="16"/>
            </w:rPr>
          </w:pPr>
          <w:r>
            <w:rPr>
              <w:sz w:val="16"/>
            </w:rPr>
            <w:t xml:space="preserve">MINISTERIO </w:t>
          </w:r>
        </w:p>
        <w:p w:rsidR="00B1236D" w:rsidRDefault="00417514" w:rsidP="007F1029">
          <w:pPr>
            <w:pStyle w:val="Encabezado"/>
            <w:rPr>
              <w:sz w:val="16"/>
            </w:rPr>
          </w:pPr>
          <w:r>
            <w:rPr>
              <w:sz w:val="16"/>
            </w:rPr>
            <w:t xml:space="preserve">DE </w:t>
          </w:r>
          <w:r w:rsidR="007F1029">
            <w:rPr>
              <w:sz w:val="16"/>
            </w:rPr>
            <w:t>IDUSTRIA, COMERCIO</w:t>
          </w:r>
        </w:p>
        <w:p w:rsidR="007F1029" w:rsidRDefault="007F1029" w:rsidP="007F1029">
          <w:pPr>
            <w:pStyle w:val="Encabezado"/>
            <w:rPr>
              <w:sz w:val="16"/>
            </w:rPr>
          </w:pPr>
          <w:r>
            <w:rPr>
              <w:sz w:val="16"/>
            </w:rPr>
            <w:t>Y TURISMO</w:t>
          </w:r>
        </w:p>
        <w:p w:rsidR="00417514" w:rsidRDefault="00417514" w:rsidP="002022F1">
          <w:pPr>
            <w:pStyle w:val="Encabezado"/>
            <w:rPr>
              <w:sz w:val="16"/>
            </w:rPr>
          </w:pPr>
        </w:p>
      </w:tc>
      <w:tc>
        <w:tcPr>
          <w:tcW w:w="2268" w:type="dxa"/>
          <w:shd w:val="pct12" w:color="auto" w:fill="auto"/>
        </w:tcPr>
        <w:p w:rsidR="00833700" w:rsidRDefault="00833700" w:rsidP="00833700">
          <w:pPr>
            <w:pStyle w:val="Encabezado"/>
            <w:spacing w:line="160" w:lineRule="exact"/>
            <w:rPr>
              <w:sz w:val="14"/>
            </w:rPr>
          </w:pPr>
        </w:p>
        <w:p w:rsidR="00417514" w:rsidRDefault="00417514" w:rsidP="00B1236D">
          <w:pPr>
            <w:pStyle w:val="Encabezado"/>
            <w:spacing w:line="160" w:lineRule="exact"/>
            <w:rPr>
              <w:sz w:val="14"/>
            </w:rPr>
          </w:pPr>
          <w:r>
            <w:rPr>
              <w:sz w:val="14"/>
            </w:rPr>
            <w:t>SECRETARÍA DE ESTADO DE   COMERCIO</w:t>
          </w:r>
        </w:p>
      </w:tc>
    </w:tr>
    <w:tr w:rsidR="00417514">
      <w:trPr>
        <w:cantSplit/>
        <w:trHeight w:val="561"/>
      </w:trPr>
      <w:tc>
        <w:tcPr>
          <w:tcW w:w="1204" w:type="dxa"/>
          <w:vMerge/>
        </w:tcPr>
        <w:p w:rsidR="00417514" w:rsidRDefault="00417514">
          <w:pPr>
            <w:pStyle w:val="Encabezado"/>
            <w:rPr>
              <w:b/>
              <w:noProof/>
            </w:rPr>
          </w:pPr>
        </w:p>
      </w:tc>
      <w:tc>
        <w:tcPr>
          <w:tcW w:w="6451" w:type="dxa"/>
          <w:vMerge/>
        </w:tcPr>
        <w:p w:rsidR="00417514" w:rsidRDefault="00417514">
          <w:pPr>
            <w:pStyle w:val="Encabezado"/>
            <w:rPr>
              <w:sz w:val="16"/>
            </w:rPr>
          </w:pPr>
        </w:p>
      </w:tc>
      <w:tc>
        <w:tcPr>
          <w:tcW w:w="2268" w:type="dxa"/>
        </w:tcPr>
        <w:p w:rsidR="00417514" w:rsidRDefault="00417514">
          <w:pPr>
            <w:pStyle w:val="Encabezado"/>
            <w:spacing w:line="160" w:lineRule="exact"/>
            <w:rPr>
              <w:sz w:val="14"/>
            </w:rPr>
          </w:pPr>
        </w:p>
        <w:p w:rsidR="00417514" w:rsidRDefault="00417514">
          <w:pPr>
            <w:pStyle w:val="Encabezado"/>
            <w:spacing w:line="160" w:lineRule="exact"/>
            <w:rPr>
              <w:sz w:val="14"/>
            </w:rPr>
          </w:pPr>
        </w:p>
      </w:tc>
    </w:tr>
  </w:tbl>
  <w:p w:rsidR="00417514" w:rsidRDefault="004175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F55F4"/>
    <w:multiLevelType w:val="hybridMultilevel"/>
    <w:tmpl w:val="B6487708"/>
    <w:lvl w:ilvl="0" w:tplc="C464A5B6">
      <w:start w:val="1"/>
      <w:numFmt w:val="bullet"/>
      <w:lvlText w:val="-"/>
      <w:lvlJc w:val="left"/>
      <w:pPr>
        <w:ind w:left="927" w:hanging="360"/>
      </w:pPr>
      <w:rPr>
        <w:rFonts w:ascii="Verdana" w:eastAsia="Times New Roman" w:hAnsi="Verdana" w:cs="Times New Roman" w:hint="default"/>
      </w:rPr>
    </w:lvl>
    <w:lvl w:ilvl="1" w:tplc="0C0A0003">
      <w:start w:val="1"/>
      <w:numFmt w:val="bullet"/>
      <w:lvlText w:val="o"/>
      <w:lvlJc w:val="left"/>
      <w:pPr>
        <w:ind w:left="1494"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 w15:restartNumberingAfterBreak="0">
    <w:nsid w:val="193E0995"/>
    <w:multiLevelType w:val="hybridMultilevel"/>
    <w:tmpl w:val="956CF592"/>
    <w:lvl w:ilvl="0" w:tplc="4980236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415878"/>
    <w:multiLevelType w:val="hybridMultilevel"/>
    <w:tmpl w:val="A244A1DE"/>
    <w:lvl w:ilvl="0" w:tplc="CAB2BDFA">
      <w:start w:val="1"/>
      <w:numFmt w:val="bullet"/>
      <w:lvlText w:val=""/>
      <w:lvlJc w:val="left"/>
      <w:pPr>
        <w:tabs>
          <w:tab w:val="num" w:pos="363"/>
        </w:tabs>
        <w:ind w:left="363" w:hanging="363"/>
      </w:pPr>
      <w:rPr>
        <w:rFonts w:ascii="Wingdings" w:hAnsi="Wingdings" w:hint="default"/>
        <w:sz w:val="20"/>
        <w:szCs w:val="20"/>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CCB58C6"/>
    <w:multiLevelType w:val="hybridMultilevel"/>
    <w:tmpl w:val="29D08A66"/>
    <w:lvl w:ilvl="0" w:tplc="015C9616">
      <w:start w:val="1"/>
      <w:numFmt w:val="bullet"/>
      <w:lvlText w:val=""/>
      <w:lvlJc w:val="left"/>
      <w:pPr>
        <w:tabs>
          <w:tab w:val="num" w:pos="357"/>
        </w:tabs>
        <w:ind w:left="357" w:hanging="357"/>
      </w:pPr>
      <w:rPr>
        <w:rFonts w:ascii="Wingdings" w:hAnsi="Wingdings" w:hint="default"/>
      </w:rPr>
    </w:lvl>
    <w:lvl w:ilvl="1" w:tplc="0C0A0003" w:tentative="1">
      <w:start w:val="1"/>
      <w:numFmt w:val="bullet"/>
      <w:lvlText w:val="o"/>
      <w:lvlJc w:val="left"/>
      <w:pPr>
        <w:tabs>
          <w:tab w:val="num" w:pos="1083"/>
        </w:tabs>
        <w:ind w:left="1083" w:hanging="360"/>
      </w:pPr>
      <w:rPr>
        <w:rFonts w:ascii="Courier New" w:hAnsi="Courier New" w:cs="Courier New" w:hint="default"/>
      </w:rPr>
    </w:lvl>
    <w:lvl w:ilvl="2" w:tplc="0C0A0005" w:tentative="1">
      <w:start w:val="1"/>
      <w:numFmt w:val="bullet"/>
      <w:lvlText w:val=""/>
      <w:lvlJc w:val="left"/>
      <w:pPr>
        <w:tabs>
          <w:tab w:val="num" w:pos="1803"/>
        </w:tabs>
        <w:ind w:left="1803" w:hanging="360"/>
      </w:pPr>
      <w:rPr>
        <w:rFonts w:ascii="Wingdings" w:hAnsi="Wingdings" w:hint="default"/>
      </w:rPr>
    </w:lvl>
    <w:lvl w:ilvl="3" w:tplc="0C0A0001" w:tentative="1">
      <w:start w:val="1"/>
      <w:numFmt w:val="bullet"/>
      <w:lvlText w:val=""/>
      <w:lvlJc w:val="left"/>
      <w:pPr>
        <w:tabs>
          <w:tab w:val="num" w:pos="2523"/>
        </w:tabs>
        <w:ind w:left="2523" w:hanging="360"/>
      </w:pPr>
      <w:rPr>
        <w:rFonts w:ascii="Symbol" w:hAnsi="Symbol" w:hint="default"/>
      </w:rPr>
    </w:lvl>
    <w:lvl w:ilvl="4" w:tplc="0C0A0003" w:tentative="1">
      <w:start w:val="1"/>
      <w:numFmt w:val="bullet"/>
      <w:lvlText w:val="o"/>
      <w:lvlJc w:val="left"/>
      <w:pPr>
        <w:tabs>
          <w:tab w:val="num" w:pos="3243"/>
        </w:tabs>
        <w:ind w:left="3243" w:hanging="360"/>
      </w:pPr>
      <w:rPr>
        <w:rFonts w:ascii="Courier New" w:hAnsi="Courier New" w:cs="Courier New" w:hint="default"/>
      </w:rPr>
    </w:lvl>
    <w:lvl w:ilvl="5" w:tplc="0C0A0005" w:tentative="1">
      <w:start w:val="1"/>
      <w:numFmt w:val="bullet"/>
      <w:lvlText w:val=""/>
      <w:lvlJc w:val="left"/>
      <w:pPr>
        <w:tabs>
          <w:tab w:val="num" w:pos="3963"/>
        </w:tabs>
        <w:ind w:left="3963" w:hanging="360"/>
      </w:pPr>
      <w:rPr>
        <w:rFonts w:ascii="Wingdings" w:hAnsi="Wingdings" w:hint="default"/>
      </w:rPr>
    </w:lvl>
    <w:lvl w:ilvl="6" w:tplc="0C0A0001" w:tentative="1">
      <w:start w:val="1"/>
      <w:numFmt w:val="bullet"/>
      <w:lvlText w:val=""/>
      <w:lvlJc w:val="left"/>
      <w:pPr>
        <w:tabs>
          <w:tab w:val="num" w:pos="4683"/>
        </w:tabs>
        <w:ind w:left="4683" w:hanging="360"/>
      </w:pPr>
      <w:rPr>
        <w:rFonts w:ascii="Symbol" w:hAnsi="Symbol" w:hint="default"/>
      </w:rPr>
    </w:lvl>
    <w:lvl w:ilvl="7" w:tplc="0C0A0003" w:tentative="1">
      <w:start w:val="1"/>
      <w:numFmt w:val="bullet"/>
      <w:lvlText w:val="o"/>
      <w:lvlJc w:val="left"/>
      <w:pPr>
        <w:tabs>
          <w:tab w:val="num" w:pos="5403"/>
        </w:tabs>
        <w:ind w:left="5403" w:hanging="360"/>
      </w:pPr>
      <w:rPr>
        <w:rFonts w:ascii="Courier New" w:hAnsi="Courier New" w:cs="Courier New" w:hint="default"/>
      </w:rPr>
    </w:lvl>
    <w:lvl w:ilvl="8" w:tplc="0C0A0005" w:tentative="1">
      <w:start w:val="1"/>
      <w:numFmt w:val="bullet"/>
      <w:lvlText w:val=""/>
      <w:lvlJc w:val="left"/>
      <w:pPr>
        <w:tabs>
          <w:tab w:val="num" w:pos="6123"/>
        </w:tabs>
        <w:ind w:left="6123" w:hanging="360"/>
      </w:pPr>
      <w:rPr>
        <w:rFonts w:ascii="Wingdings" w:hAnsi="Wingdings" w:hint="default"/>
      </w:rPr>
    </w:lvl>
  </w:abstractNum>
  <w:abstractNum w:abstractNumId="4" w15:restartNumberingAfterBreak="0">
    <w:nsid w:val="6B2D6DA6"/>
    <w:multiLevelType w:val="hybridMultilevel"/>
    <w:tmpl w:val="A37C480C"/>
    <w:lvl w:ilvl="0" w:tplc="750EF794">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71825CC2"/>
    <w:multiLevelType w:val="hybridMultilevel"/>
    <w:tmpl w:val="BE66CA0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F26"/>
    <w:rsid w:val="0005118F"/>
    <w:rsid w:val="0016569A"/>
    <w:rsid w:val="001E04DF"/>
    <w:rsid w:val="002022F1"/>
    <w:rsid w:val="003637D2"/>
    <w:rsid w:val="003C23C6"/>
    <w:rsid w:val="00417514"/>
    <w:rsid w:val="004B3E5E"/>
    <w:rsid w:val="005016F6"/>
    <w:rsid w:val="005661E7"/>
    <w:rsid w:val="006E48B1"/>
    <w:rsid w:val="00704D18"/>
    <w:rsid w:val="0075788D"/>
    <w:rsid w:val="007C6842"/>
    <w:rsid w:val="007F1029"/>
    <w:rsid w:val="00820C1E"/>
    <w:rsid w:val="00833700"/>
    <w:rsid w:val="00834034"/>
    <w:rsid w:val="008C34E8"/>
    <w:rsid w:val="008D5A90"/>
    <w:rsid w:val="00915011"/>
    <w:rsid w:val="00980214"/>
    <w:rsid w:val="00A10CC9"/>
    <w:rsid w:val="00A909F9"/>
    <w:rsid w:val="00B1236D"/>
    <w:rsid w:val="00B61F26"/>
    <w:rsid w:val="00C77BDE"/>
    <w:rsid w:val="00C96679"/>
    <w:rsid w:val="00CD0E2E"/>
    <w:rsid w:val="00CD33D8"/>
    <w:rsid w:val="00DB04C9"/>
    <w:rsid w:val="00E63724"/>
    <w:rsid w:val="00FB63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F89B1E-854F-4B15-9F85-404DE198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semiHidden/>
    <w:rsid w:val="004B3E5E"/>
    <w:rPr>
      <w:rFonts w:ascii="Tahoma" w:hAnsi="Tahoma" w:cs="Tahoma"/>
      <w:sz w:val="16"/>
      <w:szCs w:val="16"/>
    </w:rPr>
  </w:style>
  <w:style w:type="character" w:styleId="Hipervnculo">
    <w:name w:val="Hyperlink"/>
    <w:basedOn w:val="Fuentedeprrafopredeter"/>
    <w:uiPriority w:val="99"/>
    <w:unhideWhenUsed/>
    <w:rsid w:val="005016F6"/>
    <w:rPr>
      <w:color w:val="0000FF" w:themeColor="hyperlink"/>
      <w:u w:val="single"/>
    </w:rPr>
  </w:style>
  <w:style w:type="character" w:styleId="Hipervnculovisitado">
    <w:name w:val="FollowedHyperlink"/>
    <w:basedOn w:val="Fuentedeprrafopredeter"/>
    <w:uiPriority w:val="99"/>
    <w:semiHidden/>
    <w:unhideWhenUsed/>
    <w:rsid w:val="005016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32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taxation_customs/sites/taxation/files/eu_japan_epa_guidance_importers_knowledge_en.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genciatributaria.gob.es/AEAT.sede/tramitacion/DC47.s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scano@mincotur.es" TargetMode="External"/><Relationship Id="rId4" Type="http://schemas.openxmlformats.org/officeDocument/2006/relationships/webSettings" Target="webSettings.xml"/><Relationship Id="rId9" Type="http://schemas.openxmlformats.org/officeDocument/2006/relationships/hyperlink" Target="https://ec.europa.eu/taxation_customs/business/international-affairs/international-customs-cooperation-mutual-administrative-assistance-agreements/japan_en"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Desktop\2019-02-21%20Nota%20exportadores%20Jap&#243;n.%20Prueba%20de%20orige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2019-02-21 Nota exportadores Japón. Prueba de origen</Template>
  <TotalTime>0</TotalTime>
  <Pages>2</Pages>
  <Words>974</Words>
  <Characters>5360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Secretaría de Estado de Comercio Turismo y  Pyme</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Martinez Raposo</dc:creator>
  <cp:lastModifiedBy>Isabel Martinez Raposo</cp:lastModifiedBy>
  <cp:revision>1</cp:revision>
  <cp:lastPrinted>2010-12-01T10:08:00Z</cp:lastPrinted>
  <dcterms:created xsi:type="dcterms:W3CDTF">2019-02-22T12:40:00Z</dcterms:created>
  <dcterms:modified xsi:type="dcterms:W3CDTF">2019-02-22T12:40:00Z</dcterms:modified>
</cp:coreProperties>
</file>